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中车智链罗盘轨道交通装备产业供应链智能化转型白皮书-2026"/>
    <w:p>
      <w:pPr>
        <w:pStyle w:val="Heading1"/>
      </w:pPr>
      <w:r>
        <w:rPr>
          <w:rFonts w:hint="eastAsia"/>
        </w:rPr>
        <w:t xml:space="preserve">中车·智链罗盘：轨道交通装备产业供应链智能化转型白皮书</w:t>
      </w:r>
      <w:r>
        <w:t xml:space="preserve"> (2026)</w:t>
      </w:r>
    </w:p>
    <w:bookmarkStart w:id="9" w:name="序言从大国重器的骨骼到韧性生态的神经网络"/>
    <w:p>
      <w:pPr>
        <w:pStyle w:val="Heading2"/>
      </w:pPr>
      <w:r>
        <w:rPr>
          <w:rFonts w:hint="eastAsia"/>
        </w:rPr>
        <w:t xml:space="preserve">序言：从“大国重器”的骨骼到“韧性生态”的神经网络</w:t>
      </w:r>
    </w:p>
    <w:p>
      <w:pPr>
        <w:pStyle w:val="FirstParagraph"/>
      </w:pPr>
      <w:r>
        <w:rPr>
          <w:rFonts w:hint="eastAsia"/>
        </w:rPr>
        <w:t xml:space="preserve">轨道交通装备制造业作为国家高端制造的名片，长期以来扮演着国民经济“大动脉”与“压舱石”的关键角色。在中车集团迈向世界一流企业的征程中，供应链不仅是支撑万级零部件流转的物理骨骼，更是维系产业安全、响应全球市场波动的生命线。然而，置身于百年未有之大变局的历史节点，我们必须清醒地认识到，传统的、基于线性逻辑和静态规划的供应链管理模式，正面临前所未有的熵增挑战。地缘政治的剧烈震荡、全球贸易规则的重构、以及“双碳”战略下的绿色合规压力，正在将供应链管理的竞争维度从单一的“成本与效率”，强力拉升至“安全、韧性与可持续性”的战略高度。供应链已不再仅仅是企业的后勤保障部门，而是国家产业安全的防火墙，是新质生产力形成的核心要素。</w:t>
      </w:r>
    </w:p>
    <w:p>
      <w:pPr>
        <w:pStyle w:val="BodyText"/>
      </w:pPr>
      <w:r>
        <w:rPr>
          <w:rFonts w:hint="eastAsia"/>
        </w:rPr>
        <w:t xml:space="preserve">在此背景下，中车集团启动“智链罗盘（Intelligent</w:t>
      </w:r>
      <w:r>
        <w:t xml:space="preserve"> Chain </w:t>
      </w:r>
      <w:r>
        <w:rPr>
          <w:rFonts w:hint="eastAsia"/>
        </w:rPr>
        <w:t xml:space="preserve">Compass）”工程，旨在通过人工智能、知识图谱与大数据技术的深度融合，推动供应链管理范式的根本性变革。这不仅是一次信息系统的迭代升级，更是一场从“被动响应”向“主动预测”、从“经验决策”向“认知智能”、从“孤岛运行”向“生态协同”跃迁的数字化革命。我们将致力于构建一个具备自我感知、自我决策、自我进化能力的智慧生命体，让供应链数据成为流动的资产，让上下游数千家合作伙伴形成紧密的命运共同体。本白皮书旨在系统阐述这一转型愿景的顶层设计与实施路径，为中国轨道交通装备产业打造一套可复制、可推广的供应链智能化标准体系，以数字之力，铸就大国重器的韧性脊梁。</w:t>
      </w:r>
    </w:p>
    <w:bookmarkEnd w:id="9"/>
    <w:bookmarkStart w:id="12" w:name="第一章-时代挑战与转型紧迫性"/>
    <w:p>
      <w:pPr>
        <w:pStyle w:val="Heading2"/>
      </w:pPr>
      <w:r>
        <w:rPr>
          <w:rFonts w:hint="eastAsia"/>
        </w:rPr>
        <w:t xml:space="preserve">第一章</w:t>
      </w:r>
      <w:r>
        <w:t xml:space="preserve"> </w:t>
      </w:r>
      <w:r>
        <w:rPr>
          <w:rFonts w:hint="eastAsia"/>
        </w:rPr>
        <w:t xml:space="preserve">时代挑战与转型紧迫性</w:t>
      </w:r>
    </w:p>
    <w:bookmarkStart w:id="10" w:name="宏观环境不确定性重构全球产业逻辑"/>
    <w:p>
      <w:pPr>
        <w:pStyle w:val="Heading3"/>
      </w:pPr>
      <w:r>
        <w:t xml:space="preserve">1.1 </w:t>
      </w:r>
      <w:r>
        <w:rPr>
          <w:rFonts w:hint="eastAsia"/>
        </w:rPr>
        <w:t xml:space="preserve">宏观环境：不确定性重构全球产业逻辑</w:t>
      </w:r>
    </w:p>
    <w:p>
      <w:pPr>
        <w:pStyle w:val="FirstParagraph"/>
      </w:pPr>
      <w:r>
        <w:rPr>
          <w:rFonts w:hint="eastAsia"/>
        </w:rPr>
        <w:t xml:space="preserve">当前，全球政治经济格局正经历二战以来最为深刻的调整，供应链管理的外部环境已从追求“准时制（JIT）”的效率优先模式，转向应对“波动性、不确定性、复杂性与模糊性（VUCA）”的韧性优先模式。全球供应链正面临着物理阻断与逻辑脱钩的双重威胁：一方面，地缘政治冲突、局部战争以及关键航道的物流受阻（如红海危机、巴拿马运河枯水期），使得全球物流网络的稳定性大幅下降，单一节点的“黑天鹅”事件极易在长链条中引发蝴蝶效应，导致全球性的供应瘫痪；另一方面，贸易保护主义抬头与技术封锁，迫使高端装备制造业必须重新审视供应链的安全边界，关键零部件的国产化替代与多元化寻源已不再是单纯的商业选择，而是关乎企业生存与国家安全的政治任务。</w:t>
      </w:r>
    </w:p>
    <w:p>
      <w:pPr>
        <w:pStyle w:val="BodyText"/>
      </w:pPr>
      <w:r>
        <w:rPr>
          <w:rFonts w:hint="eastAsia"/>
        </w:rPr>
        <w:t xml:space="preserve">与此同时，以“碳达峰、碳中和”为核心的绿色发展浪潮正在重塑全球贸易规则。欧盟碳边境调节机制（CBAM）等绿色壁垒的实施，意味着供应链的竞争将涵盖全生命周期的碳足迹管理。对于轨道交通装备这一典型的复杂离散制造行业而言，产品出口将面临严苛的“绿色合规”审计。供应链管理必须将视角从传统的财务成本扩展至“碳成本”，不仅要追踪一级供应商的排放数据，更需穿透至原材料端，建立全链路的碳追溯体系。此外，国家关于加快发展“新质生产力”的战略部署，明确要求利用数据要素赋能传统产业。供应链汇聚了资金流、物流、信息流与商流，是数据要素最为密集的场景，如何挖掘这些沉睡数据的价值，通过数字化手段提升全要素生产率，是中车集团作为行业链主必须回答的时代命题。</w:t>
      </w:r>
    </w:p>
    <w:bookmarkEnd w:id="10"/>
    <w:bookmarkStart w:id="11" w:name="行业痛点复杂系统下的供需错配与认知局限"/>
    <w:p>
      <w:pPr>
        <w:pStyle w:val="Heading3"/>
      </w:pPr>
      <w:r>
        <w:t xml:space="preserve">1.2 </w:t>
      </w:r>
      <w:r>
        <w:rPr>
          <w:rFonts w:hint="eastAsia"/>
        </w:rPr>
        <w:t xml:space="preserve">行业痛点：复杂系统下的供需错配与认知局限</w:t>
      </w:r>
    </w:p>
    <w:p>
      <w:pPr>
        <w:pStyle w:val="FirstParagraph"/>
      </w:pPr>
      <w:r>
        <w:rPr>
          <w:rFonts w:hint="eastAsia"/>
        </w:rPr>
        <w:t xml:space="preserve">聚焦于轨道交通装备行业本身，其供应链管理的复杂程度居于离散制造业的金字塔尖。一列动车组涉及数万个零部件，BOM（物料清单）结构极其庞大且层级深邃，涉及机械、电气、材料、软件等多个跨学科领域。这种高度复杂的系统工程特性，导致了显著的“长鞭效应”与供需错配矛盾。长期以来，行业面临着“高库存与缺料风险并存”的结构性顽疾：为了应对长周期物料（如大型铸锻件、进口芯片）的供应不确定性，企业往往被迫建立高额的安全库存，导致数十亿资金的沉淀与呆滞；然而，在面对市场突发需求或设计变更时，由于缺乏对次级供应商（Tier</w:t>
      </w:r>
      <w:r>
        <w:t xml:space="preserve"> 2/Tier </w:t>
      </w:r>
      <w:r>
        <w:rPr>
          <w:rFonts w:hint="eastAsia"/>
        </w:rPr>
        <w:t xml:space="preserve">3）产能与风险的穿透式感知，关键节点的缺料停产现象仍时有发生。这种“胖库存、弱保供”的现状，本质上是由于供应链计划与执行之间存在巨大的信息时滞与决策盲区。</w:t>
      </w:r>
    </w:p>
    <w:p>
      <w:pPr>
        <w:pStyle w:val="BodyText"/>
      </w:pPr>
      <w:r>
        <w:rPr>
          <w:rFonts w:hint="eastAsia"/>
        </w:rPr>
        <w:t xml:space="preserve">此外，数据孤岛与协同壁垒严重制约了供应链效能的释放。在传统的管理架构下，研发设计数据（EBOM）、工艺制造数据（MBOM）与售后运维数据（SBOM/PHM）往往割裂存储于不同的系统中，导致供应链部门在进行备件采购与库存规划时，缺乏对前端设计变更与后端运维故障趋势的实时洞察，“修的时候没件，备的件不坏”成为常态。同时，作为链主企业，中车虽然拥有强大的话语权，但与上游数以千计的中小供应商之间仍主要依靠传统的订单与合同进行弱连接，缺乏深度的数字化协同与赋能。供应商的产能瓶颈、质量波动以及经营风险往往在问题爆发后才被主机厂感知，这种“黑盒式”的供应网络极度脆弱。因此，打破数据壁垒，构建研、产、供、销、服全链条打通的数字化认知网络，已成为行业转型迫在眉睫的内生需求。</w:t>
      </w:r>
    </w:p>
    <w:bookmarkEnd w:id="11"/>
    <w:bookmarkEnd w:id="12"/>
    <w:bookmarkStart w:id="15" w:name="第二章-新一代解决方案中车智链罗盘的顶层设计"/>
    <w:p>
      <w:pPr>
        <w:pStyle w:val="Heading2"/>
      </w:pPr>
      <w:r>
        <w:rPr>
          <w:rFonts w:hint="eastAsia"/>
        </w:rPr>
        <w:t xml:space="preserve">第二章</w:t>
      </w:r>
      <w:r>
        <w:t xml:space="preserve"> </w:t>
      </w:r>
      <w:r>
        <w:rPr>
          <w:rFonts w:hint="eastAsia"/>
        </w:rPr>
        <w:t xml:space="preserve">新一代解决方案：中车·智链罗盘的顶层设计</w:t>
      </w:r>
    </w:p>
    <w:bookmarkStart w:id="13" w:name="核心定义构建工业级认知的网络操作系统"/>
    <w:p>
      <w:pPr>
        <w:pStyle w:val="Heading3"/>
      </w:pPr>
      <w:r>
        <w:t xml:space="preserve">2.1 </w:t>
      </w:r>
      <w:r>
        <w:rPr>
          <w:rFonts w:hint="eastAsia"/>
        </w:rPr>
        <w:t xml:space="preserve">核心定义：构建工业级认知的网络操作系统</w:t>
      </w:r>
    </w:p>
    <w:p>
      <w:pPr>
        <w:pStyle w:val="FirstParagraph"/>
      </w:pPr>
      <w:r>
        <w:rPr>
          <w:rFonts w:hint="eastAsia"/>
        </w:rPr>
        <w:t xml:space="preserve">针对上述时代挑战与行业痛点，中车集团重新定义了供应链数字化转型的边界与内涵，正式推出“中车·智链罗盘（CRRC</w:t>
      </w:r>
      <w:r>
        <w:t xml:space="preserve"> Intelligent Chain </w:t>
      </w:r>
      <w:r>
        <w:rPr>
          <w:rFonts w:hint="eastAsia"/>
        </w:rPr>
        <w:t xml:space="preserve">Compass）”解决方案。这并非传统ERP系统的功能修补或简单的流程自动化升级，而是一个基于“数据+算法+算力”构建的、具备工业级认知能力的供应链网络操作系统。其核心本质在于利用人工智能技术，特别是知识图谱（Knowledge</w:t>
      </w:r>
      <w:r>
        <w:t xml:space="preserve"> </w:t>
      </w:r>
      <w:r>
        <w:rPr>
          <w:rFonts w:hint="eastAsia"/>
        </w:rPr>
        <w:t xml:space="preserve">Graph）与代理智能体（Agentic</w:t>
      </w:r>
      <w:r>
        <w:t xml:space="preserve"> </w:t>
      </w:r>
      <w:r>
        <w:rPr>
          <w:rFonts w:hint="eastAsia"/>
        </w:rPr>
        <w:t xml:space="preserve">AI），将供应链从物理世界的线性传导机制，映射为数字世界的网状认知体系。</w:t>
      </w:r>
    </w:p>
    <w:p>
      <w:pPr>
        <w:pStyle w:val="BodyText"/>
      </w:pPr>
      <w:r>
        <w:rPr>
          <w:rFonts w:hint="eastAsia"/>
        </w:rPr>
        <w:t xml:space="preserve">“智链罗盘”的提出，标志着供应链管理范式的三次根本性跃迁：</w:t>
      </w:r>
      <w:r>
        <w:t xml:space="preserve"> </w:t>
      </w:r>
      <w:r>
        <w:rPr>
          <w:rFonts w:hint="eastAsia"/>
        </w:rPr>
        <w:t xml:space="preserve">首先，是从</w:t>
      </w:r>
      <w:r>
        <w:rPr>
          <w:rFonts w:hint="eastAsia"/>
          <w:b/>
          <w:bCs/>
        </w:rPr>
        <w:t xml:space="preserve">“线性链条”向“认知网络”的维度跃迁</w:t>
      </w:r>
      <w:r>
        <w:rPr>
          <w:rFonts w:hint="eastAsia"/>
        </w:rPr>
        <w:t xml:space="preserve">。系统不再局限于管理一级供应商的显性契约关系，而是通过构建涵盖多级供应商、原材料产地、物流节点乃至地缘政治事件的宏大知识图谱，穿透物理隔离，识别深层依赖与隐性风险；</w:t>
      </w:r>
      <w:r>
        <w:t xml:space="preserve"> </w:t>
      </w:r>
      <w:r>
        <w:rPr>
          <w:rFonts w:hint="eastAsia"/>
        </w:rPr>
        <w:t xml:space="preserve">其次，是从</w:t>
      </w:r>
      <w:r>
        <w:rPr>
          <w:rFonts w:hint="eastAsia"/>
          <w:b/>
          <w:bCs/>
        </w:rPr>
        <w:t xml:space="preserve">“人治决策”向“人机协作”的治理跃迁</w:t>
      </w:r>
      <w:r>
        <w:rPr>
          <w:rFonts w:hint="eastAsia"/>
        </w:rPr>
        <w:t xml:space="preserve">。通过引入多智能体协同技术，将繁琐的寻源、比价、调度等事务性工作交由AI代理自主执行，人类管理者则升维至规则制定与战略仲裁的角色，实现管理带宽的指数级释放；</w:t>
      </w:r>
      <w:r>
        <w:t xml:space="preserve"> </w:t>
      </w:r>
      <w:r>
        <w:rPr>
          <w:rFonts w:hint="eastAsia"/>
        </w:rPr>
        <w:t xml:space="preserve">最后，是从</w:t>
      </w:r>
      <w:r>
        <w:rPr>
          <w:rFonts w:hint="eastAsia"/>
          <w:b/>
          <w:bCs/>
        </w:rPr>
        <w:t xml:space="preserve">“成本中心”向“价值生态”的职能跃迁</w:t>
      </w:r>
      <w:r>
        <w:rPr>
          <w:rFonts w:hint="eastAsia"/>
        </w:rPr>
        <w:t xml:space="preserve">。系统突破了单纯追求降本保供的内向视角，通过将碳足迹管理、供应链金融嵌入业务流程，把数据要素转化为资产信用与绿色竞争力，对外赋能生态伙伴，对内创造增量价值。</w:t>
      </w:r>
    </w:p>
    <w:bookmarkEnd w:id="13"/>
    <w:bookmarkStart w:id="14" w:name="总体架构三层金字塔模型的系统论"/>
    <w:p>
      <w:pPr>
        <w:pStyle w:val="Heading3"/>
      </w:pPr>
      <w:r>
        <w:t xml:space="preserve">2.2 </w:t>
      </w:r>
      <w:r>
        <w:rPr>
          <w:rFonts w:hint="eastAsia"/>
        </w:rPr>
        <w:t xml:space="preserve">总体架构：三层金字塔模型的系统论</w:t>
      </w:r>
    </w:p>
    <w:p>
      <w:pPr>
        <w:pStyle w:val="FirstParagraph"/>
      </w:pPr>
      <w:r>
        <w:rPr>
          <w:rFonts w:hint="eastAsia"/>
        </w:rPr>
        <w:t xml:space="preserve">遵循“厚平台、活应用、强智能”的设计原则，“智链罗盘”构建了稳态与敏态并存的三层金字塔架构，分别对应生命体的“神经中枢（大脑）”、“肢体躯干（执行）”与“循环系统（血液）”。</w:t>
      </w:r>
    </w:p>
    <w:p>
      <w:pPr>
        <w:pStyle w:val="BodyText"/>
      </w:pPr>
      <w:r>
        <w:rPr>
          <w:rFonts w:hint="eastAsia"/>
          <w:b/>
          <w:bCs/>
        </w:rPr>
        <w:t xml:space="preserve">顶层：战略智能层（The</w:t>
      </w:r>
      <w:r>
        <w:rPr>
          <w:b/>
          <w:bCs/>
        </w:rPr>
        <w:t xml:space="preserve"> </w:t>
      </w:r>
      <w:r>
        <w:rPr>
          <w:rFonts w:hint="eastAsia"/>
          <w:b/>
          <w:bCs/>
        </w:rPr>
        <w:t xml:space="preserve">Brain）——</w:t>
      </w:r>
      <w:r>
        <w:rPr>
          <w:b/>
          <w:bCs/>
        </w:rPr>
        <w:t xml:space="preserve"> </w:t>
      </w:r>
      <w:r>
        <w:rPr>
          <w:rFonts w:hint="eastAsia"/>
          <w:b/>
          <w:bCs/>
        </w:rPr>
        <w:t xml:space="preserve">认知与决策的中枢</w:t>
      </w:r>
      <w:r>
        <w:t xml:space="preserve"> </w:t>
      </w:r>
      <w:r>
        <w:rPr>
          <w:rFonts w:hint="eastAsia"/>
        </w:rPr>
        <w:t xml:space="preserve">此层是系统的智慧核心，承载着“智链罗盘”的预测、推理与决策职能。它不直接处理琐碎的单据流转，而是基于底层汇聚的海量数据，利用因果推演模型（Causal</w:t>
      </w:r>
      <w:r>
        <w:t xml:space="preserve"> </w:t>
      </w:r>
      <w:r>
        <w:rPr>
          <w:rFonts w:hint="eastAsia"/>
        </w:rPr>
        <w:t xml:space="preserve">Inference）与生成式AI技术，进行全域态势的感知与战略推演。该层包含“全域态势感知舱”，负责监控全球地缘风险与产业链波动；“韧性指挥中心”，负责统筹PHM故障预测与产能匹配；以及“绿色金融决策引擎”，负责碳资产的计量与金融资源的配置。它是中车供应链的“瞭望塔”与“参谋部”，解决的是“看不见”与“想不到”的战略问题。</w:t>
      </w:r>
    </w:p>
    <w:p>
      <w:pPr>
        <w:pStyle w:val="BodyText"/>
      </w:pPr>
      <w:r>
        <w:rPr>
          <w:rFonts w:hint="eastAsia"/>
          <w:b/>
          <w:bCs/>
        </w:rPr>
        <w:t xml:space="preserve">中层：敏捷执行层（The</w:t>
      </w:r>
      <w:r>
        <w:rPr>
          <w:b/>
          <w:bCs/>
        </w:rPr>
        <w:t xml:space="preserve"> </w:t>
      </w:r>
      <w:r>
        <w:rPr>
          <w:rFonts w:hint="eastAsia"/>
          <w:b/>
          <w:bCs/>
        </w:rPr>
        <w:t xml:space="preserve">Body）——</w:t>
      </w:r>
      <w:r>
        <w:rPr>
          <w:b/>
          <w:bCs/>
        </w:rPr>
        <w:t xml:space="preserve"> </w:t>
      </w:r>
      <w:r>
        <w:rPr>
          <w:rFonts w:hint="eastAsia"/>
          <w:b/>
          <w:bCs/>
        </w:rPr>
        <w:t xml:space="preserve">自治与协同的载体</w:t>
      </w:r>
      <w:r>
        <w:t xml:space="preserve"> </w:t>
      </w:r>
      <w:r>
        <w:rPr>
          <w:rFonts w:hint="eastAsia"/>
        </w:rPr>
        <w:t xml:space="preserve">此层是连接决策与落地的执行机构，通过对传统SRM（供应商管理）、WMS（仓储）、TMS（物流）等功能模块的智能化重构，实现业务流的自动化闭环。不同于传统系统的僵化流程，执行层引入了Agentic</w:t>
      </w:r>
      <w:r>
        <w:t xml:space="preserve"> </w:t>
      </w:r>
      <w:r>
        <w:rPr>
          <w:rFonts w:hint="eastAsia"/>
        </w:rPr>
        <w:t xml:space="preserve">AI技术，构建了“智慧寻源”、“智能采购执行”、“弹性虚拟仓储”与“智慧物流调度”四大战区。各模块之间通过API与智能合约实现松耦合协作，能够根据顶层指令快速重组业务逻辑。例如，在应对突发缺料时，执行层能自动触发跨基地的库存调拨或紧急采购流程，体现了系统在战术层面的敏捷性与柔性。</w:t>
      </w:r>
    </w:p>
    <w:p>
      <w:pPr>
        <w:pStyle w:val="BodyText"/>
      </w:pPr>
      <w:r>
        <w:rPr>
          <w:rFonts w:hint="eastAsia"/>
          <w:b/>
          <w:bCs/>
        </w:rPr>
        <w:t xml:space="preserve">底层：数据基座层（The</w:t>
      </w:r>
      <w:r>
        <w:rPr>
          <w:b/>
          <w:bCs/>
        </w:rPr>
        <w:t xml:space="preserve"> </w:t>
      </w:r>
      <w:r>
        <w:rPr>
          <w:rFonts w:hint="eastAsia"/>
          <w:b/>
          <w:bCs/>
        </w:rPr>
        <w:t xml:space="preserve">Blood）——</w:t>
      </w:r>
      <w:r>
        <w:rPr>
          <w:b/>
          <w:bCs/>
        </w:rPr>
        <w:t xml:space="preserve"> </w:t>
      </w:r>
      <w:r>
        <w:rPr>
          <w:rFonts w:hint="eastAsia"/>
          <w:b/>
          <w:bCs/>
        </w:rPr>
        <w:t xml:space="preserve">标准与关联的基石</w:t>
      </w:r>
      <w:r>
        <w:t xml:space="preserve"> </w:t>
      </w:r>
      <w:r>
        <w:rPr>
          <w:rFonts w:hint="eastAsia"/>
        </w:rPr>
        <w:t xml:space="preserve">此层是维系整个系统运转的生命之源，致力于解决轨道交通行业长期存在的“数据烟囱”问题。其核心在于构建“超级BOM（Super</w:t>
      </w:r>
      <w:r>
        <w:t xml:space="preserve"> </w:t>
      </w:r>
      <w:r>
        <w:rPr>
          <w:rFonts w:hint="eastAsia"/>
        </w:rPr>
        <w:t xml:space="preserve">BOM）”体系，打通设计（EBOM）、制造（MBOM）与服务（SBOM）的数据断点，实现全生命周期的物料身份统一（One-ID）。同时，通过主数据治理（MDM）与隐私计算技术，在保障供应商商业秘密的前提下，实现多源异构数据的清洗、融合与资产化。数据基座层利用图数据库技术，将离散的物料、企业、合同、物流信息编织成一张动态的语义网络，为上层AI的推理提供了可信的“事实土壤”。</w:t>
      </w:r>
    </w:p>
    <w:bookmarkEnd w:id="14"/>
    <w:bookmarkEnd w:id="15"/>
    <w:bookmarkStart w:id="20" w:name="第三章-关键技术创新与应用场景"/>
    <w:p>
      <w:pPr>
        <w:pStyle w:val="Heading2"/>
      </w:pPr>
      <w:r>
        <w:rPr>
          <w:rFonts w:hint="eastAsia"/>
        </w:rPr>
        <w:t xml:space="preserve">第三章</w:t>
      </w:r>
      <w:r>
        <w:t xml:space="preserve"> </w:t>
      </w:r>
      <w:r>
        <w:rPr>
          <w:rFonts w:hint="eastAsia"/>
        </w:rPr>
        <w:t xml:space="preserve">关键技术创新与应用场景</w:t>
      </w:r>
    </w:p>
    <w:bookmarkStart w:id="16" w:name="全域态势感知与因果推演-the-global-eye"/>
    <w:p>
      <w:pPr>
        <w:pStyle w:val="Heading3"/>
      </w:pPr>
      <w:r>
        <w:t xml:space="preserve">3.1 </w:t>
      </w:r>
      <w:r>
        <w:rPr>
          <w:rFonts w:hint="eastAsia"/>
        </w:rPr>
        <w:t xml:space="preserve">全域态势感知与因果推演</w:t>
      </w:r>
      <w:r>
        <w:t xml:space="preserve"> (The Global Eye)</w:t>
      </w:r>
    </w:p>
    <w:p>
      <w:pPr>
        <w:pStyle w:val="FirstParagraph"/>
      </w:pPr>
      <w:r>
        <w:rPr>
          <w:rFonts w:hint="eastAsia"/>
        </w:rPr>
        <w:t xml:space="preserve">面对全球供应链的蝴蝶效应，“智链罗盘”首创了基于多模态大模型的全域态势感知机制。系统集成了NLP（自然语言处理）与计算机视觉技术，实时抓取并解析全球范围内的开源情报（OSINT），包括突发自然灾害、港口罢工、地缘政治冲突以及大宗商品价格波动。不同于传统的热点监测，本系统引入了</w:t>
      </w:r>
      <w:r>
        <w:rPr>
          <w:rFonts w:hint="eastAsia"/>
          <w:b/>
          <w:bCs/>
        </w:rPr>
        <w:t xml:space="preserve">因果推演沙盘（Causal</w:t>
      </w:r>
      <w:r>
        <w:rPr>
          <w:b/>
          <w:bCs/>
        </w:rPr>
        <w:t xml:space="preserve"> Inference </w:t>
      </w:r>
      <w:r>
        <w:rPr>
          <w:rFonts w:hint="eastAsia"/>
          <w:b/>
          <w:bCs/>
        </w:rPr>
        <w:t xml:space="preserve">Sandbox）</w:t>
      </w:r>
      <w:r>
        <w:t xml:space="preserve">。</w:t>
      </w:r>
    </w:p>
    <w:p>
      <w:pPr>
        <w:pStyle w:val="BodyText"/>
      </w:pPr>
      <w:r>
        <w:rPr>
          <w:rFonts w:hint="eastAsia"/>
        </w:rPr>
        <w:t xml:space="preserve">该沙盘利用知识图谱的图传播算法，能够量化评估单一风险事件对复杂供应链网络的级联冲击。例如，当监测到智利某铜矿产区发生地震时，系统不仅能预警铜价波动，更能顺着图谱路径，通过推理计算，精准预测出该事件将在35天后导致中车某型号牵引电机的线圈交付延误，并量化其对整车交付周期的影响概率。此外，系统支持“反事实推演（Counterfactual</w:t>
      </w:r>
      <w:r>
        <w:t xml:space="preserve"> </w:t>
      </w:r>
      <w:r>
        <w:rPr>
          <w:rFonts w:hint="eastAsia"/>
        </w:rPr>
        <w:t xml:space="preserve">Reasoning）”，允许管理者输入“假设下月汇率波动10%”或“假设马六甲海峡物流中断”等虚拟参数，系统即刻生成多套应对预案与成本分析，从而让供应链管理从“事后救火”进化为“事前免疫”。</w:t>
      </w:r>
    </w:p>
    <w:bookmarkEnd w:id="16"/>
    <w:bookmarkStart w:id="17" w:name="智能体驱动的自主采购-agentic-procurement"/>
    <w:p>
      <w:pPr>
        <w:pStyle w:val="Heading3"/>
      </w:pPr>
      <w:r>
        <w:t xml:space="preserve">3.2 </w:t>
      </w:r>
      <w:r>
        <w:rPr>
          <w:rFonts w:hint="eastAsia"/>
        </w:rPr>
        <w:t xml:space="preserve">智能体驱动的自主采购</w:t>
      </w:r>
      <w:r>
        <w:t xml:space="preserve"> (Agentic Procurement)</w:t>
      </w:r>
    </w:p>
    <w:p>
      <w:pPr>
        <w:pStyle w:val="FirstParagraph"/>
      </w:pPr>
      <w:r>
        <w:rPr>
          <w:rFonts w:hint="eastAsia"/>
        </w:rPr>
        <w:t xml:space="preserve">为了突破人工采购的效率瓶颈，“智链罗盘”部署了基于多智能体系统（Multi-Agent</w:t>
      </w:r>
      <w:r>
        <w:t xml:space="preserve"> System, </w:t>
      </w:r>
      <w:r>
        <w:rPr>
          <w:rFonts w:hint="eastAsia"/>
        </w:rPr>
        <w:t xml:space="preserve">MAS）的自主采购战区。这一创新将采购流程分解为感知、寻源、谈判、执行等若干个独立的AI</w:t>
      </w:r>
      <w:r>
        <w:t xml:space="preserve"> </w:t>
      </w:r>
      <w:r>
        <w:rPr>
          <w:rFonts w:hint="eastAsia"/>
        </w:rPr>
        <w:t xml:space="preserve">Agent（智能体），它们具备独立的任务目标与交互能力。</w:t>
      </w:r>
    </w:p>
    <w:p>
      <w:pPr>
        <w:pStyle w:val="BodyText"/>
      </w:pPr>
      <w:r>
        <w:rPr>
          <w:rFonts w:hint="eastAsia"/>
        </w:rPr>
        <w:t xml:space="preserve">在实际运行中，当“需求感知Agent”捕捉到缺料信号时，会自动唤醒“寻源Agent”在全网范围内检索合格供应商及库存现货；随后，“谈判Agent”接管流程，它基于历史交易数据、供应商当前产能利用率以及原材料市场行情，自动生成最优的谈判策略与询价邮件，甚至能阅读并解析供应商回复的非结构化PDF报价单。通过多轮自动化的博弈与比价，Agent最终生成一份包含综合成本、交期风险与质量评分的决策建议书，由人类采购专家进行最终确认。这种人机协同模式不仅将采购寻源周期缩短了50%以上，更通过算法博弈显著降低了采购成本，规避了人为情绪干扰与合规风险。</w:t>
      </w:r>
    </w:p>
    <w:bookmarkEnd w:id="17"/>
    <w:bookmarkStart w:id="18" w:name="mro驱动的韧性闭环-resilience-loop"/>
    <w:p>
      <w:pPr>
        <w:pStyle w:val="Heading3"/>
      </w:pPr>
      <w:r>
        <w:t xml:space="preserve">3.3 </w:t>
      </w:r>
      <w:r>
        <w:rPr>
          <w:rFonts w:hint="eastAsia"/>
        </w:rPr>
        <w:t xml:space="preserve">MRO驱动的韧性闭环</w:t>
      </w:r>
      <w:r>
        <w:t xml:space="preserve"> (Resilience Loop)</w:t>
      </w:r>
    </w:p>
    <w:p>
      <w:pPr>
        <w:pStyle w:val="FirstParagraph"/>
      </w:pPr>
      <w:r>
        <w:rPr>
          <w:rFonts w:hint="eastAsia"/>
        </w:rPr>
        <w:t xml:space="preserve">针对轨道交通装备“修造分离”导致的备件管理难题，本系统实现了PHM（故障预测与健康管理）与SCM的深度熔合。利用列车运行产生的海量传感器数据，PHM模型能够精准预测关键部件的剩余寿命（RUL）。“智链罗盘”将这一预测结果实时转化为供应链的输入信号，在故障发生前的最佳时间窗口自动触发备件的调拨或采购指令，真正实现了“备件等人”的零等待服务。</w:t>
      </w:r>
    </w:p>
    <w:p>
      <w:pPr>
        <w:pStyle w:val="BodyText"/>
      </w:pPr>
      <w:r>
        <w:rPr>
          <w:rFonts w:hint="eastAsia"/>
        </w:rPr>
        <w:t xml:space="preserve">更为深远的创新在于建立了</w:t>
      </w:r>
      <w:r>
        <w:rPr>
          <w:rFonts w:hint="eastAsia"/>
          <w:b/>
          <w:bCs/>
        </w:rPr>
        <w:t xml:space="preserve">“设计-供应链反哺机制”</w:t>
      </w:r>
      <w:r>
        <w:rPr>
          <w:rFonts w:hint="eastAsia"/>
        </w:rPr>
        <w:t xml:space="preserve">。系统会对全生命周期的故障数据与供应数据进行联合挖掘，当发现某型号轴承在特定高寒区域的故障率异常且供应频次过高时，AI会自动生成《零部件质量改进建议书》并回传至研发中心。这不仅提示了供应链端的备货压力，更直接建议研发部门优化材料选型或改进设计规格。这种跨部门的数据闭环，使得供应链部门从单纯的后勤保障者，转型为推动产品质量迭代与全生命周期成本（LCC）优化的核心驱动力。</w:t>
      </w:r>
    </w:p>
    <w:bookmarkEnd w:id="18"/>
    <w:bookmarkStart w:id="19" w:name="绿色供应链与碳金融-green-finance"/>
    <w:p>
      <w:pPr>
        <w:pStyle w:val="Heading3"/>
      </w:pPr>
      <w:r>
        <w:t xml:space="preserve">3.4 </w:t>
      </w:r>
      <w:r>
        <w:rPr>
          <w:rFonts w:hint="eastAsia"/>
        </w:rPr>
        <w:t xml:space="preserve">绿色供应链与碳金融</w:t>
      </w:r>
      <w:r>
        <w:t xml:space="preserve"> (Green &amp; Finance)</w:t>
      </w:r>
    </w:p>
    <w:p>
      <w:pPr>
        <w:pStyle w:val="FirstParagraph"/>
      </w:pPr>
      <w:r>
        <w:rPr>
          <w:rFonts w:hint="eastAsia"/>
        </w:rPr>
        <w:t xml:space="preserve">在ESG成为全球商业通用语言的当下，“智链罗盘”将“绿色”与“价值”植入供应链的底层逻辑。系统内置了符合ISO</w:t>
      </w:r>
      <w:r>
        <w:t xml:space="preserve"> </w:t>
      </w:r>
      <w:r>
        <w:rPr>
          <w:rFonts w:hint="eastAsia"/>
        </w:rPr>
        <w:t xml:space="preserve">14067标准的</w:t>
      </w:r>
      <w:r>
        <w:rPr>
          <w:rFonts w:hint="eastAsia"/>
          <w:b/>
          <w:bCs/>
        </w:rPr>
        <w:t xml:space="preserve">碳足迹计算引擎</w:t>
      </w:r>
      <w:r>
        <w:rPr>
          <w:rFonts w:hint="eastAsia"/>
        </w:rPr>
        <w:t xml:space="preserve">，能够基于BOM结构自动汇总从原材料开采到成品制造的全链路碳排放数据。在采购决策环节，系统首创了“含碳全成本”评价模型，将供应商的碳排放量通过即时碳价折算为财务成本，从而在同等条件下优先引导采购低碳产品，帮助中车及产业链从容应对欧盟CBAM等绿色关税壁垒。</w:t>
      </w:r>
    </w:p>
    <w:p>
      <w:pPr>
        <w:pStyle w:val="BodyText"/>
      </w:pPr>
      <w:r>
        <w:rPr>
          <w:rFonts w:hint="eastAsia"/>
        </w:rPr>
        <w:t xml:space="preserve">同时，系统构建了基于数据信用的</w:t>
      </w:r>
      <w:r>
        <w:rPr>
          <w:rFonts w:hint="eastAsia"/>
          <w:b/>
          <w:bCs/>
        </w:rPr>
        <w:t xml:space="preserve">普惠金融生态</w:t>
      </w:r>
      <w:r>
        <w:rPr>
          <w:rFonts w:hint="eastAsia"/>
        </w:rPr>
        <w:t xml:space="preserve">。通过对供应商的历史交货准时率、质量合格率、碳减排绩效等多维数据的实时分析，系统为每家供应商生成动态的“数字信用画像”。基于此画像，中车可联合金融机构为链上中小企业提供无抵押、低利率的订单融资与应收账款保理服务。这不仅解决了中小供应商的资金周转难题，降低了上游倒闭断供的风险，更为集团创造了可观的金融撮合收益，实现了产业链上下游的共生共赢。</w:t>
      </w:r>
    </w:p>
    <w:bookmarkEnd w:id="19"/>
    <w:bookmarkEnd w:id="20"/>
    <w:bookmarkStart w:id="23" w:name="第四章-实施路径与演进路线"/>
    <w:p>
      <w:pPr>
        <w:pStyle w:val="Heading2"/>
      </w:pPr>
      <w:r>
        <w:rPr>
          <w:rFonts w:hint="eastAsia"/>
        </w:rPr>
        <w:t xml:space="preserve">第四章</w:t>
      </w:r>
      <w:r>
        <w:t xml:space="preserve"> </w:t>
      </w:r>
      <w:r>
        <w:rPr>
          <w:rFonts w:hint="eastAsia"/>
        </w:rPr>
        <w:t xml:space="preserve">实施路径与演进路线</w:t>
      </w:r>
    </w:p>
    <w:bookmarkStart w:id="21" w:name="实施阶段规划从全域可视到生态自治"/>
    <w:p>
      <w:pPr>
        <w:pStyle w:val="Heading3"/>
      </w:pPr>
      <w:r>
        <w:t xml:space="preserve">4.1 </w:t>
      </w:r>
      <w:r>
        <w:rPr>
          <w:rFonts w:hint="eastAsia"/>
        </w:rPr>
        <w:t xml:space="preserve">实施阶段规划：从“全域可视”到“生态自治”</w:t>
      </w:r>
    </w:p>
    <w:p>
      <w:pPr>
        <w:pStyle w:val="FirstParagraph"/>
      </w:pPr>
      <w:r>
        <w:rPr>
          <w:rFonts w:hint="eastAsia"/>
        </w:rPr>
        <w:t xml:space="preserve">“智链罗盘”的建设是一项复杂的系统工程，涉及组织重构、流程再造与技术革新。遵循“急用先行、小步快跑、持续迭代”的敏捷原则，本项目规划了“三步走”的演进路线图，预计在18个月内完成核心能力的全面构建与推广。</w:t>
      </w:r>
    </w:p>
    <w:p>
      <w:pPr>
        <w:pStyle w:val="BodyText"/>
      </w:pPr>
      <w:r>
        <w:rPr>
          <w:rFonts w:hint="eastAsia"/>
          <w:b/>
          <w:bCs/>
        </w:rPr>
        <w:t xml:space="preserve">阶段一：全域可视与基础重构（The</w:t>
      </w:r>
      <w:r>
        <w:rPr>
          <w:b/>
          <w:bCs/>
        </w:rPr>
        <w:t xml:space="preserve"> Visibility </w:t>
      </w:r>
      <w:r>
        <w:rPr>
          <w:rFonts w:hint="eastAsia"/>
          <w:b/>
          <w:bCs/>
        </w:rPr>
        <w:t xml:space="preserve">Phase，T+0</w:t>
      </w:r>
      <w:r>
        <w:rPr>
          <w:b/>
          <w:bCs/>
        </w:rPr>
        <w:t xml:space="preserve"> ~ </w:t>
      </w:r>
      <w:r>
        <w:rPr>
          <w:rFonts w:hint="eastAsia"/>
          <w:b/>
          <w:bCs/>
        </w:rPr>
        <w:t xml:space="preserve">T+6个月）</w:t>
      </w:r>
      <w:r>
        <w:t xml:space="preserve"> </w:t>
      </w:r>
      <w:r>
        <w:rPr>
          <w:rFonts w:hint="eastAsia"/>
        </w:rPr>
        <w:t xml:space="preserve">此阶段的核心目标是“打通断点，看见风险”。</w:t>
      </w:r>
    </w:p>
    <w:p>
      <w:pPr>
        <w:pStyle w:val="Compact"/>
        <w:numPr>
          <w:ilvl w:val="0"/>
          <w:numId w:val="1001"/>
        </w:numPr>
      </w:pPr>
      <w:r>
        <w:rPr>
          <w:rFonts w:hint="eastAsia"/>
          <w:b/>
          <w:bCs/>
        </w:rPr>
        <w:t xml:space="preserve">数据底座夯实</w:t>
      </w:r>
      <w:r>
        <w:rPr>
          <w:rFonts w:hint="eastAsia"/>
        </w:rPr>
        <w:t xml:space="preserve">：完成与ERP、PLM、PHM等核心业务系统的接口对接，治理清洗物料主数据，建立统一的“超级BOM”索引体系。</w:t>
      </w:r>
    </w:p>
    <w:p>
      <w:pPr>
        <w:pStyle w:val="Compact"/>
        <w:numPr>
          <w:ilvl w:val="0"/>
          <w:numId w:val="1001"/>
        </w:numPr>
      </w:pPr>
      <w:r>
        <w:rPr>
          <w:rFonts w:hint="eastAsia"/>
          <w:b/>
          <w:bCs/>
        </w:rPr>
        <w:t xml:space="preserve">图谱构建</w:t>
      </w:r>
      <w:r>
        <w:rPr>
          <w:rFonts w:hint="eastAsia"/>
        </w:rPr>
        <w:t xml:space="preserve">：初步建成覆盖核心一级供应商及关键二级原材料（如芯片、特种钢材）的供应链知识图谱，上线“全域态势感知舱”。</w:t>
      </w:r>
    </w:p>
    <w:p>
      <w:pPr>
        <w:pStyle w:val="Compact"/>
        <w:numPr>
          <w:ilvl w:val="0"/>
          <w:numId w:val="1001"/>
        </w:numPr>
      </w:pPr>
      <w:r>
        <w:rPr>
          <w:rFonts w:hint="eastAsia"/>
          <w:b/>
          <w:bCs/>
        </w:rPr>
        <w:t xml:space="preserve">初步预警</w:t>
      </w:r>
      <w:r>
        <w:rPr>
          <w:rFonts w:hint="eastAsia"/>
        </w:rPr>
        <w:t xml:space="preserve">：实现基于规则的库存预警与基础的物流可视化，解决信息不透明导致的“盲目备货”问题。</w:t>
      </w:r>
    </w:p>
    <w:p>
      <w:pPr>
        <w:pStyle w:val="Compact"/>
        <w:numPr>
          <w:ilvl w:val="0"/>
          <w:numId w:val="1001"/>
        </w:numPr>
      </w:pPr>
      <w:r>
        <w:rPr>
          <w:rFonts w:hint="eastAsia"/>
          <w:b/>
          <w:bCs/>
        </w:rPr>
        <w:t xml:space="preserve">标志性成果</w:t>
      </w:r>
      <w:r>
        <w:rPr>
          <w:rFonts w:hint="eastAsia"/>
        </w:rPr>
        <w:t xml:space="preserve">：全集团供应链数据的“一张图”展示，风险响应时间从周级缩短至天级。</w:t>
      </w:r>
    </w:p>
    <w:p>
      <w:pPr>
        <w:pStyle w:val="FirstParagraph"/>
      </w:pPr>
      <w:r>
        <w:rPr>
          <w:rFonts w:hint="eastAsia"/>
          <w:b/>
          <w:bCs/>
        </w:rPr>
        <w:t xml:space="preserve">阶段二：智能辅助与决策增强（The</w:t>
      </w:r>
      <w:r>
        <w:rPr>
          <w:b/>
          <w:bCs/>
        </w:rPr>
        <w:t xml:space="preserve"> Intelligence </w:t>
      </w:r>
      <w:r>
        <w:rPr>
          <w:rFonts w:hint="eastAsia"/>
          <w:b/>
          <w:bCs/>
        </w:rPr>
        <w:t xml:space="preserve">Phase，T+6</w:t>
      </w:r>
      <w:r>
        <w:rPr>
          <w:b/>
          <w:bCs/>
        </w:rPr>
        <w:t xml:space="preserve"> ~ </w:t>
      </w:r>
      <w:r>
        <w:rPr>
          <w:rFonts w:hint="eastAsia"/>
          <w:b/>
          <w:bCs/>
        </w:rPr>
        <w:t xml:space="preserve">T+12个月）</w:t>
      </w:r>
      <w:r>
        <w:t xml:space="preserve"> </w:t>
      </w:r>
      <w:r>
        <w:rPr>
          <w:rFonts w:hint="eastAsia"/>
        </w:rPr>
        <w:t xml:space="preserve">此阶段的核心目标是“人机协同，降本增效”。</w:t>
      </w:r>
    </w:p>
    <w:p>
      <w:pPr>
        <w:pStyle w:val="Compact"/>
        <w:numPr>
          <w:ilvl w:val="0"/>
          <w:numId w:val="1002"/>
        </w:numPr>
      </w:pPr>
      <w:r>
        <w:rPr>
          <w:rFonts w:hint="eastAsia"/>
          <w:b/>
          <w:bCs/>
        </w:rPr>
        <w:t xml:space="preserve">Agent部署</w:t>
      </w:r>
      <w:r>
        <w:rPr>
          <w:rFonts w:hint="eastAsia"/>
        </w:rPr>
        <w:t xml:space="preserve">：在寻源、比价、合同审核等高频重复场景中，部署“智能采购Agent”，实现流程的自动化处理与辅助决策。</w:t>
      </w:r>
    </w:p>
    <w:p>
      <w:pPr>
        <w:pStyle w:val="Compact"/>
        <w:numPr>
          <w:ilvl w:val="0"/>
          <w:numId w:val="1002"/>
        </w:numPr>
      </w:pPr>
      <w:r>
        <w:rPr>
          <w:rFonts w:hint="eastAsia"/>
          <w:b/>
          <w:bCs/>
        </w:rPr>
        <w:t xml:space="preserve">算法上线</w:t>
      </w:r>
      <w:r>
        <w:rPr>
          <w:rFonts w:hint="eastAsia"/>
        </w:rPr>
        <w:t xml:space="preserve">：因果推演沙盘正式投入使用，支持多参数的压力测试；PHM联动机制打通，实现维修备件的自动触发。</w:t>
      </w:r>
    </w:p>
    <w:p>
      <w:pPr>
        <w:pStyle w:val="Compact"/>
        <w:numPr>
          <w:ilvl w:val="0"/>
          <w:numId w:val="1002"/>
        </w:numPr>
      </w:pPr>
      <w:r>
        <w:rPr>
          <w:rFonts w:hint="eastAsia"/>
          <w:b/>
          <w:bCs/>
        </w:rPr>
        <w:t xml:space="preserve">深度应用</w:t>
      </w:r>
      <w:r>
        <w:rPr>
          <w:rFonts w:hint="eastAsia"/>
        </w:rPr>
        <w:t xml:space="preserve">：开展试点项目的全流程无人化采购测试，验证AI在复杂博弈场景下的可靠性。</w:t>
      </w:r>
    </w:p>
    <w:p>
      <w:pPr>
        <w:pStyle w:val="Compact"/>
        <w:numPr>
          <w:ilvl w:val="0"/>
          <w:numId w:val="1002"/>
        </w:numPr>
      </w:pPr>
      <w:r>
        <w:rPr>
          <w:rFonts w:hint="eastAsia"/>
          <w:b/>
          <w:bCs/>
        </w:rPr>
        <w:t xml:space="preserve">标志性成果</w:t>
      </w:r>
      <w:r>
        <w:rPr>
          <w:rFonts w:hint="eastAsia"/>
        </w:rPr>
        <w:t xml:space="preserve">：采购寻源周期缩短50%，库存周转率显著提升，AI接管30%以上的事务性工作。</w:t>
      </w:r>
    </w:p>
    <w:p>
      <w:pPr>
        <w:pStyle w:val="FirstParagraph"/>
      </w:pPr>
      <w:r>
        <w:rPr>
          <w:rFonts w:hint="eastAsia"/>
          <w:b/>
          <w:bCs/>
        </w:rPr>
        <w:t xml:space="preserve">阶段三：生态自治与价值创造（The</w:t>
      </w:r>
      <w:r>
        <w:rPr>
          <w:b/>
          <w:bCs/>
        </w:rPr>
        <w:t xml:space="preserve"> Ecosystem </w:t>
      </w:r>
      <w:r>
        <w:rPr>
          <w:rFonts w:hint="eastAsia"/>
          <w:b/>
          <w:bCs/>
        </w:rPr>
        <w:t xml:space="preserve">Phase，T+12</w:t>
      </w:r>
      <w:r>
        <w:rPr>
          <w:b/>
          <w:bCs/>
        </w:rPr>
        <w:t xml:space="preserve"> ~ </w:t>
      </w:r>
      <w:r>
        <w:rPr>
          <w:rFonts w:hint="eastAsia"/>
          <w:b/>
          <w:bCs/>
        </w:rPr>
        <w:t xml:space="preserve">T+18个月）</w:t>
      </w:r>
      <w:r>
        <w:t xml:space="preserve"> </w:t>
      </w:r>
      <w:r>
        <w:rPr>
          <w:rFonts w:hint="eastAsia"/>
        </w:rPr>
        <w:t xml:space="preserve">此阶段的核心目标是“价值外溢，生态共赢”。</w:t>
      </w:r>
    </w:p>
    <w:p>
      <w:pPr>
        <w:pStyle w:val="Compact"/>
        <w:numPr>
          <w:ilvl w:val="0"/>
          <w:numId w:val="1003"/>
        </w:numPr>
      </w:pPr>
      <w:r>
        <w:rPr>
          <w:rFonts w:hint="eastAsia"/>
          <w:b/>
          <w:bCs/>
        </w:rPr>
        <w:t xml:space="preserve">碳金融落地</w:t>
      </w:r>
      <w:r>
        <w:rPr>
          <w:rFonts w:hint="eastAsia"/>
        </w:rPr>
        <w:t xml:space="preserve">：全面上线碳足迹计算引擎与供应链金融服务平台，将数据资产转化为真金白银。</w:t>
      </w:r>
    </w:p>
    <w:p>
      <w:pPr>
        <w:pStyle w:val="Compact"/>
        <w:numPr>
          <w:ilvl w:val="0"/>
          <w:numId w:val="1003"/>
        </w:numPr>
      </w:pPr>
      <w:r>
        <w:rPr>
          <w:rFonts w:hint="eastAsia"/>
          <w:b/>
          <w:bCs/>
        </w:rPr>
        <w:t xml:space="preserve">反哺闭环</w:t>
      </w:r>
      <w:r>
        <w:rPr>
          <w:rFonts w:hint="eastAsia"/>
        </w:rPr>
        <w:t xml:space="preserve">：建立常态化的“设计-供应链”数据反哺机制，利用供应链数据驱动产品研发迭代。</w:t>
      </w:r>
    </w:p>
    <w:p>
      <w:pPr>
        <w:pStyle w:val="Compact"/>
        <w:numPr>
          <w:ilvl w:val="0"/>
          <w:numId w:val="1003"/>
        </w:numPr>
      </w:pPr>
      <w:r>
        <w:rPr>
          <w:rFonts w:hint="eastAsia"/>
          <w:b/>
          <w:bCs/>
        </w:rPr>
        <w:t xml:space="preserve">行业推广</w:t>
      </w:r>
      <w:r>
        <w:rPr>
          <w:rFonts w:hint="eastAsia"/>
        </w:rPr>
        <w:t xml:space="preserve">：将“智链罗盘”的标准接口向全行业开放，吸纳更多合作伙伴加入，形成事实上的行业标准。</w:t>
      </w:r>
    </w:p>
    <w:p>
      <w:pPr>
        <w:pStyle w:val="Compact"/>
        <w:numPr>
          <w:ilvl w:val="0"/>
          <w:numId w:val="1003"/>
        </w:numPr>
      </w:pPr>
      <w:r>
        <w:rPr>
          <w:rFonts w:hint="eastAsia"/>
          <w:b/>
          <w:bCs/>
        </w:rPr>
        <w:t xml:space="preserve">标志性成果</w:t>
      </w:r>
      <w:r>
        <w:rPr>
          <w:rFonts w:hint="eastAsia"/>
        </w:rPr>
        <w:t xml:space="preserve">：形成可独立运营的数据服务产品，供应链金融撮合额度突破亿元级，确立中车在行业数字生态中的核心地位。</w:t>
      </w:r>
    </w:p>
    <w:bookmarkEnd w:id="21"/>
    <w:bookmarkStart w:id="22" w:name="建设保障组织适应性与数据主权"/>
    <w:p>
      <w:pPr>
        <w:pStyle w:val="Heading3"/>
      </w:pPr>
      <w:r>
        <w:t xml:space="preserve">4.2 </w:t>
      </w:r>
      <w:r>
        <w:rPr>
          <w:rFonts w:hint="eastAsia"/>
        </w:rPr>
        <w:t xml:space="preserve">建设保障：组织适应性与数据主权</w:t>
      </w:r>
    </w:p>
    <w:p>
      <w:pPr>
        <w:pStyle w:val="FirstParagraph"/>
      </w:pPr>
      <w:r>
        <w:rPr>
          <w:rFonts w:hint="eastAsia"/>
        </w:rPr>
        <w:t xml:space="preserve">技术的成功落地离不开配套机制的护航。首先，在组织层面，建议成立</w:t>
      </w:r>
      <w:r>
        <w:rPr>
          <w:rFonts w:hint="eastAsia"/>
          <w:b/>
          <w:bCs/>
        </w:rPr>
        <w:t xml:space="preserve">“供应链数字化运营中心（SDOC）”</w:t>
      </w:r>
      <w:r>
        <w:rPr>
          <w:rFonts w:hint="eastAsia"/>
        </w:rPr>
        <w:t xml:space="preserve">。该中心独立于传统采购部门，由数据科学家、算法工程师与资深供应链专家混编组成，负责AI模型的训练、策略调优以及跨部门的业务协调，打破行政壁垒，确保技术与业务的深度融合。</w:t>
      </w:r>
    </w:p>
    <w:p>
      <w:pPr>
        <w:pStyle w:val="BodyText"/>
      </w:pPr>
      <w:r>
        <w:rPr>
          <w:rFonts w:hint="eastAsia"/>
        </w:rPr>
        <w:t xml:space="preserve">其次，在数据安全与主权层面，鉴于供应链数据的极度敏感性，必须构建“主权级”的安全防护体系。针对供应商担心的商业机密泄露问题，我们将采用</w:t>
      </w:r>
      <w:r>
        <w:rPr>
          <w:rFonts w:hint="eastAsia"/>
          <w:b/>
          <w:bCs/>
        </w:rPr>
        <w:t xml:space="preserve">联邦学习（Federated</w:t>
      </w:r>
      <w:r>
        <w:rPr>
          <w:b/>
          <w:bCs/>
        </w:rPr>
        <w:t xml:space="preserve"> </w:t>
      </w:r>
      <w:r>
        <w:rPr>
          <w:rFonts w:hint="eastAsia"/>
          <w:b/>
          <w:bCs/>
        </w:rPr>
        <w:t xml:space="preserve">Learning）</w:t>
      </w:r>
      <w:r>
        <w:rPr>
          <w:rFonts w:hint="eastAsia"/>
        </w:rPr>
        <w:t xml:space="preserve">与</w:t>
      </w:r>
      <w:r>
        <w:rPr>
          <w:rFonts w:hint="eastAsia"/>
          <w:b/>
          <w:bCs/>
        </w:rPr>
        <w:t xml:space="preserve">多方安全计算（MPC）</w:t>
      </w:r>
      <w:r>
        <w:rPr>
          <w:rFonts w:hint="eastAsia"/>
        </w:rPr>
        <w:t xml:space="preserve">技术。这意味着，供应商无需上传原始生产数据，仅需在本地计算相关特征值（如产能负荷指数、碳排放因子）并上传加密结果。这种“数据可用不可见”的机制，既满足了中车对全链条风险管控的需求，又充分尊重并保护了供应商的数据主权，从而消除生态合作的信任鸿沟。</w:t>
      </w:r>
    </w:p>
    <w:bookmarkEnd w:id="22"/>
    <w:bookmarkEnd w:id="23"/>
    <w:bookmarkStart w:id="26" w:name="第五章-价值评估与展望"/>
    <w:p>
      <w:pPr>
        <w:pStyle w:val="Heading2"/>
      </w:pPr>
      <w:r>
        <w:rPr>
          <w:rFonts w:hint="eastAsia"/>
        </w:rPr>
        <w:t xml:space="preserve">第五章</w:t>
      </w:r>
      <w:r>
        <w:t xml:space="preserve"> </w:t>
      </w:r>
      <w:r>
        <w:rPr>
          <w:rFonts w:hint="eastAsia"/>
        </w:rPr>
        <w:t xml:space="preserve">价值评估与展望</w:t>
      </w:r>
    </w:p>
    <w:bookmarkStart w:id="24" w:name="量化收益评估-roi"/>
    <w:p>
      <w:pPr>
        <w:pStyle w:val="Heading3"/>
      </w:pPr>
      <w:r>
        <w:t xml:space="preserve">5.1 </w:t>
      </w:r>
      <w:r>
        <w:rPr>
          <w:rFonts w:hint="eastAsia"/>
        </w:rPr>
        <w:t xml:space="preserve">量化收益评估</w:t>
      </w:r>
      <w:r>
        <w:t xml:space="preserve"> (ROI)</w:t>
      </w:r>
    </w:p>
    <w:p>
      <w:pPr>
        <w:pStyle w:val="FirstParagraph"/>
      </w:pPr>
      <w:r>
        <w:rPr>
          <w:rFonts w:hint="eastAsia"/>
        </w:rPr>
        <w:t xml:space="preserve">基于行业基准数据及试点项目的测算，“智链罗盘”全面上线后，预计将产生显著的经济效益，ROI（投资回报率）预计将在系统运行的第二年达到300%以上。</w:t>
      </w:r>
    </w:p>
    <w:p>
      <w:pPr>
        <w:numPr>
          <w:ilvl w:val="0"/>
          <w:numId w:val="1004"/>
        </w:numPr>
      </w:pPr>
      <w:r>
        <w:rPr>
          <w:rFonts w:hint="eastAsia"/>
          <w:b/>
          <w:bCs/>
        </w:rPr>
        <w:t xml:space="preserve">降本效益（Cost</w:t>
      </w:r>
      <w:r>
        <w:rPr>
          <w:b/>
          <w:bCs/>
        </w:rPr>
        <w:t xml:space="preserve"> </w:t>
      </w:r>
      <w:r>
        <w:rPr>
          <w:rFonts w:hint="eastAsia"/>
          <w:b/>
          <w:bCs/>
        </w:rPr>
        <w:t xml:space="preserve">Reduction）</w:t>
      </w:r>
      <w:r>
        <w:rPr>
          <w:rFonts w:hint="eastAsia"/>
        </w:rPr>
        <w:t xml:space="preserve">：</w:t>
      </w:r>
    </w:p>
    <w:p>
      <w:pPr>
        <w:numPr>
          <w:ilvl w:val="0"/>
          <w:numId w:val="1004"/>
        </w:numPr>
      </w:pPr>
      <w:r>
        <w:rPr>
          <w:rFonts w:hint="eastAsia"/>
          <w:b/>
          <w:bCs/>
        </w:rPr>
        <w:t xml:space="preserve">库存资金释放</w:t>
      </w:r>
      <w:r>
        <w:rPr>
          <w:rFonts w:hint="eastAsia"/>
        </w:rPr>
        <w:t xml:space="preserve">：通过PHM精准预测与虚拟中心仓共享，预计降低库存资金占用</w:t>
      </w:r>
      <w:r>
        <w:t xml:space="preserve"> </w:t>
      </w:r>
      <w:r>
        <w:rPr>
          <w:b/>
          <w:bCs/>
        </w:rPr>
        <w:t xml:space="preserve">20%-30%</w:t>
      </w:r>
      <w:r>
        <w:rPr>
          <w:rFonts w:hint="eastAsia"/>
        </w:rPr>
        <w:t xml:space="preserve">。按中车集团千亿级库存规模测算，每年可释放数十亿现金流。</w:t>
      </w:r>
    </w:p>
    <w:p>
      <w:pPr>
        <w:numPr>
          <w:ilvl w:val="0"/>
          <w:numId w:val="1004"/>
        </w:numPr>
      </w:pPr>
      <w:r>
        <w:rPr>
          <w:rFonts w:hint="eastAsia"/>
          <w:b/>
          <w:bCs/>
        </w:rPr>
        <w:t xml:space="preserve">采购成本优化</w:t>
      </w:r>
      <w:r>
        <w:rPr>
          <w:rFonts w:hint="eastAsia"/>
        </w:rPr>
        <w:t xml:space="preserve">：通过Agent的多轮博弈与全局寻源，预计降低物资采购成本</w:t>
      </w:r>
      <w:r>
        <w:t xml:space="preserve"> </w:t>
      </w:r>
      <w:r>
        <w:rPr>
          <w:b/>
          <w:bCs/>
        </w:rPr>
        <w:t xml:space="preserve">3%-5%</w:t>
      </w:r>
      <w:r>
        <w:t xml:space="preserve">。</w:t>
      </w:r>
    </w:p>
    <w:p>
      <w:pPr>
        <w:numPr>
          <w:ilvl w:val="0"/>
          <w:numId w:val="1004"/>
        </w:numPr>
      </w:pPr>
      <w:r>
        <w:rPr>
          <w:rFonts w:hint="eastAsia"/>
          <w:b/>
          <w:bCs/>
        </w:rPr>
        <w:t xml:space="preserve">增效效益（Efficiency</w:t>
      </w:r>
      <w:r>
        <w:rPr>
          <w:b/>
          <w:bCs/>
        </w:rPr>
        <w:t xml:space="preserve"> </w:t>
      </w:r>
      <w:r>
        <w:rPr>
          <w:rFonts w:hint="eastAsia"/>
          <w:b/>
          <w:bCs/>
        </w:rPr>
        <w:t xml:space="preserve">Improvement）</w:t>
      </w:r>
      <w:r>
        <w:rPr>
          <w:rFonts w:hint="eastAsia"/>
        </w:rPr>
        <w:t xml:space="preserve">：</w:t>
      </w:r>
    </w:p>
    <w:p>
      <w:pPr>
        <w:numPr>
          <w:ilvl w:val="0"/>
          <w:numId w:val="1004"/>
        </w:numPr>
      </w:pPr>
      <w:r>
        <w:rPr>
          <w:rFonts w:hint="eastAsia"/>
          <w:b/>
          <w:bCs/>
        </w:rPr>
        <w:t xml:space="preserve">流程效率提升</w:t>
      </w:r>
      <w:r>
        <w:rPr>
          <w:rFonts w:hint="eastAsia"/>
        </w:rPr>
        <w:t xml:space="preserve">：自动化寻源与比价将使采购作业周期缩短</w:t>
      </w:r>
      <w:r>
        <w:t xml:space="preserve"> </w:t>
      </w:r>
      <w:r>
        <w:rPr>
          <w:b/>
          <w:bCs/>
        </w:rPr>
        <w:t xml:space="preserve">50%</w:t>
      </w:r>
      <w:r>
        <w:rPr>
          <w:rFonts w:hint="eastAsia"/>
        </w:rPr>
        <w:t xml:space="preserve">，大幅降低人力成本。</w:t>
      </w:r>
    </w:p>
    <w:p>
      <w:pPr>
        <w:numPr>
          <w:ilvl w:val="0"/>
          <w:numId w:val="1004"/>
        </w:numPr>
      </w:pPr>
      <w:r>
        <w:rPr>
          <w:rFonts w:hint="eastAsia"/>
          <w:b/>
          <w:bCs/>
        </w:rPr>
        <w:t xml:space="preserve">停产损失规避</w:t>
      </w:r>
      <w:r>
        <w:rPr>
          <w:rFonts w:hint="eastAsia"/>
        </w:rPr>
        <w:t xml:space="preserve">：基于因果推演的事前预警，预计将缺料导致的停产风险降低</w:t>
      </w:r>
      <w:r>
        <w:t xml:space="preserve"> </w:t>
      </w:r>
      <w:r>
        <w:rPr>
          <w:b/>
          <w:bCs/>
        </w:rPr>
        <w:t xml:space="preserve">80%</w:t>
      </w:r>
      <w:r>
        <w:t xml:space="preserve">。</w:t>
      </w:r>
    </w:p>
    <w:p>
      <w:pPr>
        <w:numPr>
          <w:ilvl w:val="0"/>
          <w:numId w:val="1004"/>
        </w:numPr>
      </w:pPr>
      <w:r>
        <w:rPr>
          <w:rFonts w:hint="eastAsia"/>
          <w:b/>
          <w:bCs/>
        </w:rPr>
        <w:t xml:space="preserve">创收效益（Revenue</w:t>
      </w:r>
      <w:r>
        <w:rPr>
          <w:b/>
          <w:bCs/>
        </w:rPr>
        <w:t xml:space="preserve"> </w:t>
      </w:r>
      <w:r>
        <w:rPr>
          <w:rFonts w:hint="eastAsia"/>
          <w:b/>
          <w:bCs/>
        </w:rPr>
        <w:t xml:space="preserve">Generation）</w:t>
      </w:r>
      <w:r>
        <w:rPr>
          <w:rFonts w:hint="eastAsia"/>
        </w:rPr>
        <w:t xml:space="preserve">：</w:t>
      </w:r>
    </w:p>
    <w:p>
      <w:pPr>
        <w:numPr>
          <w:ilvl w:val="0"/>
          <w:numId w:val="1004"/>
        </w:numPr>
      </w:pPr>
      <w:r>
        <w:rPr>
          <w:rFonts w:hint="eastAsia"/>
          <w:b/>
          <w:bCs/>
        </w:rPr>
        <w:t xml:space="preserve">金融与碳资产</w:t>
      </w:r>
      <w:r>
        <w:rPr>
          <w:rFonts w:hint="eastAsia"/>
        </w:rPr>
        <w:t xml:space="preserve">：预计通过供应链金融撮合服务与碳配额优化，每年可创造</w:t>
      </w:r>
      <w:r>
        <w:t xml:space="preserve"> </w:t>
      </w:r>
      <w:r>
        <w:rPr>
          <w:rFonts w:hint="eastAsia"/>
          <w:b/>
          <w:bCs/>
        </w:rPr>
        <w:t xml:space="preserve">数亿元</w:t>
      </w:r>
      <w:r>
        <w:t xml:space="preserve"> </w:t>
      </w:r>
      <w:r>
        <w:rPr>
          <w:rFonts w:hint="eastAsia"/>
        </w:rPr>
        <w:t xml:space="preserve">的衍生价值，将供应链部门彻底转型为利润中心。</w:t>
      </w:r>
    </w:p>
    <w:bookmarkEnd w:id="24"/>
    <w:bookmarkStart w:id="25" w:name="战略意义与行业展望"/>
    <w:p>
      <w:pPr>
        <w:pStyle w:val="Heading3"/>
      </w:pPr>
      <w:r>
        <w:t xml:space="preserve">5.2 </w:t>
      </w:r>
      <w:r>
        <w:rPr>
          <w:rFonts w:hint="eastAsia"/>
        </w:rPr>
        <w:t xml:space="preserve">战略意义与行业展望</w:t>
      </w:r>
    </w:p>
    <w:p>
      <w:pPr>
        <w:pStyle w:val="FirstParagraph"/>
      </w:pPr>
      <w:r>
        <w:rPr>
          <w:rFonts w:hint="eastAsia"/>
        </w:rPr>
        <w:t xml:space="preserve">“智链罗盘”的建成，其意义远超系统本身。对内，它是中车集团落实“新质生产力”战略的生动实践，是迈向世界一流企业的数字化引擎；对外，它将重塑中国轨道交通装备产业的竞争格局。</w:t>
      </w:r>
    </w:p>
    <w:p>
      <w:pPr>
        <w:pStyle w:val="BodyText"/>
      </w:pPr>
      <w:r>
        <w:rPr>
          <w:rFonts w:hint="eastAsia"/>
        </w:rPr>
        <w:t xml:space="preserve">它将建立</w:t>
      </w:r>
      <w:r>
        <w:rPr>
          <w:rFonts w:hint="eastAsia"/>
          <w:b/>
          <w:bCs/>
        </w:rPr>
        <w:t xml:space="preserve">行业事实标准</w:t>
      </w:r>
      <w:r>
        <w:rPr>
          <w:rFonts w:hint="eastAsia"/>
        </w:rPr>
        <w:t xml:space="preserve">。通过输出统一的数据接口、碳核算规则与风险评估模型，“智链罗盘”将成为连接全产业链的通用语言，极大地增强中车作为链主的号召力与控制力。</w:t>
      </w:r>
      <w:r>
        <w:t xml:space="preserve"> </w:t>
      </w:r>
      <w:r>
        <w:rPr>
          <w:rFonts w:hint="eastAsia"/>
        </w:rPr>
        <w:t xml:space="preserve">它将构建</w:t>
      </w:r>
      <w:r>
        <w:rPr>
          <w:rFonts w:hint="eastAsia"/>
          <w:b/>
          <w:bCs/>
        </w:rPr>
        <w:t xml:space="preserve">国家安全屏障</w:t>
      </w:r>
      <w:r>
        <w:rPr>
          <w:rFonts w:hint="eastAsia"/>
        </w:rPr>
        <w:t xml:space="preserve">。在逆全球化的寒风中，一套自主可控、具备极强韧性的供应链操作系统，是保障国家战略交通命脉安全运行的“数字盾牌”。</w:t>
      </w:r>
    </w:p>
    <w:p>
      <w:pPr>
        <w:pStyle w:val="BodyText"/>
      </w:pPr>
      <w:r>
        <w:rPr>
          <w:rFonts w:hint="eastAsia"/>
        </w:rPr>
        <w:t xml:space="preserve">未来，随着系统的持续进化，我们期望将这一模式跨行业复制，从轨道交通延伸至新能源、高端海工等领域，为中国制造的全球化征程提供最具智慧的供应链解决方案。</w:t>
      </w:r>
    </w:p>
    <w:bookmarkEnd w:id="25"/>
    <w:bookmarkEnd w:id="26"/>
    <w:bookmarkStart w:id="29" w:name="附录-appendix"/>
    <w:p>
      <w:pPr>
        <w:pStyle w:val="Heading2"/>
      </w:pPr>
      <w:r>
        <w:rPr>
          <w:rFonts w:hint="eastAsia"/>
        </w:rPr>
        <w:t xml:space="preserve">附录</w:t>
      </w:r>
      <w:r>
        <w:t xml:space="preserve"> (Appendix)</w:t>
      </w:r>
    </w:p>
    <w:bookmarkStart w:id="27" w:name="a.-关键术语表-glossary"/>
    <w:p>
      <w:pPr>
        <w:pStyle w:val="Heading3"/>
      </w:pPr>
      <w:r>
        <w:t xml:space="preserve">A. </w:t>
      </w:r>
      <w:r>
        <w:rPr>
          <w:rFonts w:hint="eastAsia"/>
        </w:rPr>
        <w:t xml:space="preserve">关键术语表</w:t>
      </w:r>
      <w:r>
        <w:t xml:space="preserve"> (Glossary)</w:t>
      </w:r>
    </w:p>
    <w:p>
      <w:pPr>
        <w:pStyle w:val="Compact"/>
        <w:numPr>
          <w:ilvl w:val="0"/>
          <w:numId w:val="1005"/>
        </w:numPr>
      </w:pPr>
      <w:r>
        <w:rPr>
          <w:b/>
          <w:bCs/>
        </w:rPr>
        <w:t xml:space="preserve">Agentic AI </w:t>
      </w:r>
      <w:r>
        <w:rPr>
          <w:rFonts w:hint="eastAsia"/>
          <w:b/>
          <w:bCs/>
        </w:rPr>
        <w:t xml:space="preserve">(代理智能体)</w:t>
      </w:r>
      <w:r>
        <w:rPr>
          <w:rFonts w:hint="eastAsia"/>
        </w:rPr>
        <w:t xml:space="preserve">：一种具备自主感知、规划、决策与执行能力的人工智能系统。在本项目中，特指能够代替人类执行寻源、谈判、调度等复杂任务的AI软件实体。</w:t>
      </w:r>
    </w:p>
    <w:p>
      <w:pPr>
        <w:pStyle w:val="Compact"/>
        <w:numPr>
          <w:ilvl w:val="0"/>
          <w:numId w:val="1005"/>
        </w:numPr>
      </w:pPr>
      <w:r>
        <w:rPr>
          <w:b/>
          <w:bCs/>
        </w:rPr>
        <w:t xml:space="preserve">Knowledge Graph </w:t>
      </w:r>
      <w:r>
        <w:rPr>
          <w:rFonts w:hint="eastAsia"/>
          <w:b/>
          <w:bCs/>
        </w:rPr>
        <w:t xml:space="preserve">(供应链知识图谱)</w:t>
      </w:r>
      <w:r>
        <w:rPr>
          <w:rFonts w:hint="eastAsia"/>
        </w:rPr>
        <w:t xml:space="preserve">：以图结构（节点与边）存储供应链实体（如供应商、物料、事件）及其相互关系的技术，支持深度搜索与因果推理。</w:t>
      </w:r>
    </w:p>
    <w:p>
      <w:pPr>
        <w:pStyle w:val="Compact"/>
        <w:numPr>
          <w:ilvl w:val="0"/>
          <w:numId w:val="1005"/>
        </w:numPr>
      </w:pPr>
      <w:r>
        <w:rPr>
          <w:b/>
          <w:bCs/>
        </w:rPr>
        <w:t xml:space="preserve">PHM (Prognostics and Health Management)</w:t>
      </w:r>
      <w:r>
        <w:rPr>
          <w:rFonts w:hint="eastAsia"/>
        </w:rPr>
        <w:t xml:space="preserve">：故障预测与健康管理。利用传感器数据评估设备健康状态并预测剩余寿命的技术，是实现“按需供应”的基础。</w:t>
      </w:r>
    </w:p>
    <w:p>
      <w:pPr>
        <w:pStyle w:val="Compact"/>
        <w:numPr>
          <w:ilvl w:val="0"/>
          <w:numId w:val="1005"/>
        </w:numPr>
      </w:pPr>
      <w:r>
        <w:rPr>
          <w:b/>
          <w:bCs/>
        </w:rPr>
        <w:t xml:space="preserve">Super BOM </w:t>
      </w:r>
      <w:r>
        <w:rPr>
          <w:rFonts w:hint="eastAsia"/>
          <w:b/>
          <w:bCs/>
        </w:rPr>
        <w:t xml:space="preserve">(超级物料清单)</w:t>
      </w:r>
      <w:r>
        <w:rPr>
          <w:rFonts w:hint="eastAsia"/>
        </w:rPr>
        <w:t xml:space="preserve">：贯穿产品设计(EBOM)、制造(MBOM)、服务(SBOM)全生命周期的统一物料数据结构，旨在解决跨阶段数据断层问题。</w:t>
      </w:r>
    </w:p>
    <w:p>
      <w:pPr>
        <w:pStyle w:val="Compact"/>
        <w:numPr>
          <w:ilvl w:val="0"/>
          <w:numId w:val="1005"/>
        </w:numPr>
      </w:pPr>
      <w:r>
        <w:rPr>
          <w:b/>
          <w:bCs/>
        </w:rPr>
        <w:t xml:space="preserve">CBAM (Carbon Border Adjustment Mechanism)</w:t>
      </w:r>
      <w:r>
        <w:rPr>
          <w:rFonts w:hint="eastAsia"/>
        </w:rPr>
        <w:t xml:space="preserve">：欧盟碳边境调节机制（俗称碳关税）。指欧盟对进口商品中隐含的碳排放征收的税费，对供应链的绿色合规提出严苛要求。</w:t>
      </w:r>
    </w:p>
    <w:p>
      <w:pPr>
        <w:pStyle w:val="Compact"/>
        <w:numPr>
          <w:ilvl w:val="0"/>
          <w:numId w:val="1005"/>
        </w:numPr>
      </w:pPr>
      <w:r>
        <w:rPr>
          <w:b/>
          <w:bCs/>
        </w:rPr>
        <w:t xml:space="preserve">What-if Analysis </w:t>
      </w:r>
      <w:r>
        <w:rPr>
          <w:rFonts w:hint="eastAsia"/>
          <w:b/>
          <w:bCs/>
        </w:rPr>
        <w:t xml:space="preserve">(假设分析/因果推演)</w:t>
      </w:r>
      <w:r>
        <w:rPr>
          <w:rFonts w:hint="eastAsia"/>
        </w:rPr>
        <w:t xml:space="preserve">：通过改变输入变量（如汇率、产能、物流状态），模拟系统在不同假设情境下的反应与结果，用于压力测试与决策支持。</w:t>
      </w:r>
    </w:p>
    <w:bookmarkEnd w:id="27"/>
    <w:bookmarkStart w:id="28" w:name="b.-引用标准与规范-reference-standards"/>
    <w:p>
      <w:pPr>
        <w:pStyle w:val="Heading3"/>
      </w:pPr>
      <w:r>
        <w:t xml:space="preserve">B. </w:t>
      </w:r>
      <w:r>
        <w:rPr>
          <w:rFonts w:hint="eastAsia"/>
        </w:rPr>
        <w:t xml:space="preserve">引用标准与规范</w:t>
      </w:r>
      <w:r>
        <w:t xml:space="preserve"> (Reference Standards)</w:t>
      </w:r>
    </w:p>
    <w:p>
      <w:pPr>
        <w:pStyle w:val="FirstParagraph"/>
      </w:pPr>
      <w:r>
        <w:rPr>
          <w:rFonts w:hint="eastAsia"/>
        </w:rPr>
        <w:t xml:space="preserve">本项目的架构设计与数据治理遵循以下国家及国际标准：</w:t>
      </w:r>
    </w:p>
    <w:p>
      <w:pPr>
        <w:pStyle w:val="Compact"/>
        <w:numPr>
          <w:ilvl w:val="0"/>
          <w:numId w:val="1006"/>
        </w:numPr>
      </w:pPr>
      <w:r>
        <w:rPr>
          <w:b/>
          <w:bCs/>
        </w:rPr>
        <w:t xml:space="preserve">ISO 22301:2019</w:t>
      </w:r>
      <w:r>
        <w:t xml:space="preserve"> </w:t>
      </w:r>
      <w:r>
        <w:t xml:space="preserve">- </w:t>
      </w:r>
      <w:r>
        <w:rPr>
          <w:rFonts w:hint="eastAsia"/>
        </w:rPr>
        <w:t xml:space="preserve">安全与韧性</w:t>
      </w:r>
      <w:r>
        <w:t xml:space="preserve"> - </w:t>
      </w:r>
      <w:r>
        <w:rPr>
          <w:rFonts w:hint="eastAsia"/>
        </w:rPr>
        <w:t xml:space="preserve">业务连续性管理体系</w:t>
      </w:r>
      <w:r>
        <w:t xml:space="preserve"> (Security and resilience — Business continuity management systems)</w:t>
      </w:r>
    </w:p>
    <w:p>
      <w:pPr>
        <w:pStyle w:val="Compact"/>
        <w:numPr>
          <w:ilvl w:val="0"/>
          <w:numId w:val="1006"/>
        </w:numPr>
      </w:pPr>
      <w:r>
        <w:rPr>
          <w:b/>
          <w:bCs/>
        </w:rPr>
        <w:t xml:space="preserve">ISO 14067:2018</w:t>
      </w:r>
      <w:r>
        <w:t xml:space="preserve"> </w:t>
      </w:r>
      <w:r>
        <w:t xml:space="preserve">- </w:t>
      </w:r>
      <w:r>
        <w:rPr>
          <w:rFonts w:hint="eastAsia"/>
        </w:rPr>
        <w:t xml:space="preserve">温室气体</w:t>
      </w:r>
      <w:r>
        <w:t xml:space="preserve"> - </w:t>
      </w:r>
      <w:r>
        <w:rPr>
          <w:rFonts w:hint="eastAsia"/>
        </w:rPr>
        <w:t xml:space="preserve">产品碳足迹</w:t>
      </w:r>
      <w:r>
        <w:t xml:space="preserve"> - </w:t>
      </w:r>
      <w:r>
        <w:rPr>
          <w:rFonts w:hint="eastAsia"/>
        </w:rPr>
        <w:t xml:space="preserve">量化要求与指南</w:t>
      </w:r>
      <w:r>
        <w:t xml:space="preserve"> (Greenhouse gases — Carbon footprint of products)</w:t>
      </w:r>
    </w:p>
    <w:p>
      <w:pPr>
        <w:pStyle w:val="Compact"/>
        <w:numPr>
          <w:ilvl w:val="0"/>
          <w:numId w:val="1006"/>
        </w:numPr>
      </w:pPr>
      <w:r>
        <w:rPr>
          <w:b/>
          <w:bCs/>
        </w:rPr>
        <w:t xml:space="preserve">GB/T 36073-2018</w:t>
      </w:r>
      <w:r>
        <w:t xml:space="preserve"> </w:t>
      </w:r>
      <w:r>
        <w:t xml:space="preserve">- </w:t>
      </w:r>
      <w:r>
        <w:rPr>
          <w:rFonts w:hint="eastAsia"/>
        </w:rPr>
        <w:t xml:space="preserve">数据管理能力成熟度评估模型</w:t>
      </w:r>
      <w:r>
        <w:t xml:space="preserve"> (DCMM)</w:t>
      </w:r>
    </w:p>
    <w:p>
      <w:pPr>
        <w:pStyle w:val="Compact"/>
        <w:numPr>
          <w:ilvl w:val="0"/>
          <w:numId w:val="1006"/>
        </w:numPr>
      </w:pPr>
      <w:r>
        <w:rPr>
          <w:b/>
          <w:bCs/>
        </w:rPr>
        <w:t xml:space="preserve">GB/T 39680-2020</w:t>
      </w:r>
      <w:r>
        <w:t xml:space="preserve"> </w:t>
      </w:r>
      <w:r>
        <w:t xml:space="preserve">- </w:t>
      </w:r>
      <w:r>
        <w:rPr>
          <w:rFonts w:hint="eastAsia"/>
        </w:rPr>
        <w:t xml:space="preserve">信息安全技术</w:t>
      </w:r>
      <w:r>
        <w:t xml:space="preserve"> </w:t>
      </w:r>
      <w:r>
        <w:rPr>
          <w:rFonts w:hint="eastAsia"/>
        </w:rPr>
        <w:t xml:space="preserve">智能制造工业控制系统安全防护要求</w:t>
      </w:r>
    </w:p>
    <w:p>
      <w:pPr>
        <w:pStyle w:val="Compact"/>
        <w:numPr>
          <w:ilvl w:val="0"/>
          <w:numId w:val="1006"/>
        </w:numPr>
      </w:pPr>
      <w:r>
        <w:rPr>
          <w:rFonts w:hint="eastAsia"/>
          <w:b/>
          <w:bCs/>
        </w:rPr>
        <w:t xml:space="preserve">中车集团物资编码主数据规范</w:t>
      </w:r>
      <w:r>
        <w:rPr>
          <w:b/>
          <w:bCs/>
        </w:rPr>
        <w:t xml:space="preserve"> (Q/CRRC J 12.1-202X)</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2025-12-26T07:59:51Z</dcterms:created>
  <dcterms:modified xsi:type="dcterms:W3CDTF">2025-12-26T07:59:51Z</dcterms:modified>
</cp:coreProperties>
</file>

<file path=docProps/custom.xml><?xml version="1.0" encoding="utf-8"?>
<Properties xmlns="http://schemas.openxmlformats.org/officeDocument/2006/custom-properties" xmlns:vt="http://schemas.openxmlformats.org/officeDocument/2006/docPropsVTypes"/>
</file>